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ink="http://schemas.microsoft.com/office/drawing/2016/ink" xmlns:dgm="http://schemas.openxmlformats.org/drawingml/2006/diagram" mc:Ignorable="w14 wp14 ">
  <w:body>
    <w:p w14:paraId="00000001">
      <w:pPr>
        <w:spacing w:beforeAutospacing="0" w:after="120" w:afterAutospacing="0"/>
        <w:jc w:val="center"/>
        <w:rPr>
          <w:b/>
          <w:bCs/>
        </w:rPr>
      </w:pPr>
      <w:r>
        <w:rPr>
          <w:b/>
          <w:bCs/>
        </w:rPr>
        <w:t>TEKNİK TEKLİF (Mal Alımı ihaleleri için)</w:t>
      </w:r>
      <w:r>
        <w:rPr>
          <w:b/>
          <w:bCs/>
        </w:rPr>
        <w:tab/>
        <w:t xml:space="preserve">      (Söz. EK: 3b)</w:t>
      </w:r>
    </w:p>
    <w:p w14:paraId="00000002">
      <w:pPr>
        <w:spacing w:beforeAutospacing="0" w:after="120" w:afterAutospacing="0"/>
        <w:jc w:val="center"/>
        <w:rPr>
          <w:rStyle w:val="Başlık1Char"/>
          <w:lang w:val="tr-TR"/>
        </w:rPr>
      </w:pPr>
    </w:p>
    <w:p w14:paraId="0000000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ELEME MAKİNASI </w:t>
      </w:r>
      <w:r>
        <w:rPr>
          <w:b/>
          <w:sz w:val="20"/>
          <w:szCs w:val="20"/>
        </w:rPr>
        <w:t>MAL ALIMI İÇİN TEKNİK TEKLİF FORMU</w:t>
      </w:r>
    </w:p>
    <w:p w14:paraId="00000004">
      <w:pPr>
        <w:spacing w:beforeAutospacing="0" w:after="120" w:afterAutospacing="0"/>
        <w:rPr>
          <w:sz w:val="20"/>
          <w:szCs w:val="20"/>
        </w:rPr>
      </w:pPr>
    </w:p>
    <w:p w14:paraId="00000005">
      <w:pPr>
        <w:spacing w:beforeAutospacing="0" w:after="120" w:afterAutospacing="0"/>
        <w:rPr/>
      </w:pPr>
      <w:r>
        <w:rPr>
          <w:sz w:val="20"/>
          <w:szCs w:val="20"/>
        </w:rPr>
        <w:t xml:space="preserve"> </w:t>
      </w:r>
      <w:r>
        <w:rPr>
          <w:b/>
          <w:sz w:val="24"/>
          <w:szCs w:val="24"/>
        </w:rPr>
        <w:t>Sözleşme Başlığı</w:t>
      </w:r>
      <w:r>
        <w:rPr>
          <w:b/>
        </w:rPr>
        <w:tab/>
        <w:t>:</w:t>
      </w:r>
      <w:r>
        <w:t xml:space="preserve"> BAKLİYAT İMALATTA BİTKİSEL PROTEİNİN EKONOMİK DÖNGÜSÜNDE ÇİFTLİK HAYVANLARINA KATKISI BAŞLIKLI PROJEYE İLİŞKİN DESTEK SÖZLEŞMESİ</w:t>
      </w:r>
    </w:p>
    <w:p w14:paraId="00000006">
      <w:pPr>
        <w:spacing w:beforeAutospacing="0" w:after="120" w:afterAutospacing="0"/>
        <w:rPr/>
      </w:pPr>
      <w:r>
        <w:rPr>
          <w:b/>
        </w:rPr>
        <w:t>Yayın Referansı</w:t>
      </w:r>
      <w:r>
        <w:rPr>
          <w:b/>
        </w:rPr>
        <w:tab/>
        <w:t>:</w:t>
      </w:r>
      <w:r>
        <w:t xml:space="preserve"> </w:t>
      </w:r>
      <w:r>
        <w:t>TRC2/26/ALT_SGA/0009</w:t>
      </w:r>
    </w:p>
    <w:p w14:paraId="00000007">
      <w:pPr>
        <w:spacing w:beforeAutospacing="0" w:after="120" w:afterAutospacing="0"/>
        <w:rPr>
          <w:sz w:val="20"/>
          <w:szCs w:val="20"/>
        </w:rPr>
      </w:pPr>
      <w:r>
        <w:rPr>
          <w:b/>
          <w:sz w:val="20"/>
          <w:szCs w:val="20"/>
        </w:rPr>
        <w:t>İsteklinin adı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:</w:t>
      </w:r>
      <w:r>
        <w:rPr>
          <w:sz w:val="20"/>
          <w:szCs w:val="20"/>
        </w:rPr>
        <w:t xml:space="preserve"> … … … … … … … … …</w:t>
      </w:r>
    </w:p>
    <w:p w14:paraId="00000008">
      <w:pPr>
        <w:spacing w:beforeAutospacing="0" w:after="120" w:afterAutospacing="0"/>
        <w:rPr>
          <w:sz w:val="20"/>
          <w:szCs w:val="20"/>
        </w:rPr>
      </w:pPr>
    </w:p>
    <w:tbl>
      <w:tblPr>
        <w:tblW w:w="968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756"/>
        <w:gridCol w:w="2137"/>
        <w:gridCol w:w="2680"/>
        <w:gridCol w:w="2268"/>
        <w:gridCol w:w="1842"/>
      </w:tblGrid>
      <w:tr>
        <w:trPr>
          <w:cnfStyle w:val="000000100000"/>
          <w:cantSplit w:val="on"/>
          <w:trHeight w:val="310"/>
          <w:tblHeader w:val="on"/>
        </w:trPr>
        <w:tc>
          <w:tcPr>
            <w:cnfStyle w:val="000010100000"/>
            <w:tcW w:w="756" w:type="dxa"/>
            <w:shd w:val="pct10" w:color="auto" w:fill="auto"/>
            <w:vAlign w:val="center"/>
          </w:tcPr>
          <w:p w14:paraId="0000000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</w:t>
            </w:r>
          </w:p>
        </w:tc>
        <w:tc>
          <w:tcPr>
            <w:cnfStyle w:val="000001100000"/>
            <w:tcW w:w="2137" w:type="dxa"/>
            <w:shd w:val="pct10" w:color="auto" w:fill="auto"/>
            <w:vAlign w:val="center"/>
          </w:tcPr>
          <w:p w14:paraId="0000000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</w:t>
            </w:r>
          </w:p>
        </w:tc>
        <w:tc>
          <w:tcPr>
            <w:cnfStyle w:val="000010100000"/>
            <w:tcW w:w="2680" w:type="dxa"/>
            <w:shd w:val="pct10" w:color="auto" w:fill="auto"/>
            <w:vAlign w:val="center"/>
          </w:tcPr>
          <w:p w14:paraId="000000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</w:t>
            </w:r>
          </w:p>
        </w:tc>
        <w:tc>
          <w:tcPr>
            <w:cnfStyle w:val="000001100000"/>
            <w:tcW w:w="2268" w:type="dxa"/>
            <w:shd w:val="pct10" w:color="auto" w:fill="auto"/>
            <w:vAlign w:val="center"/>
          </w:tcPr>
          <w:p w14:paraId="000000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</w:t>
            </w:r>
          </w:p>
        </w:tc>
        <w:tc>
          <w:tcPr>
            <w:cnfStyle w:val="000010100000"/>
            <w:tcW w:w="1842" w:type="dxa"/>
            <w:tcBorders>
              <w:bottom w:val="single" w:color="auto" w:sz="4" w:space="0"/>
            </w:tcBorders>
            <w:shd w:val="pct10" w:color="auto" w:fill="auto"/>
            <w:vAlign w:val="center"/>
          </w:tcPr>
          <w:p w14:paraId="000000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</w:t>
            </w:r>
          </w:p>
        </w:tc>
      </w:tr>
      <w:tr>
        <w:trPr>
          <w:cnfStyle w:val="000000010000"/>
          <w:cantSplit w:val="on"/>
          <w:trHeight w:val="782"/>
          <w:tblHeader w:val="on"/>
        </w:trPr>
        <w:tc>
          <w:tcPr>
            <w:cnfStyle w:val="000010010000"/>
            <w:tcW w:w="756" w:type="dxa"/>
            <w:shd w:val="pct10" w:color="auto" w:fill="auto"/>
          </w:tcPr>
          <w:p w14:paraId="0000000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Sıra </w:t>
            </w:r>
          </w:p>
          <w:p w14:paraId="000000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cnfStyle w:val="000001010000"/>
            <w:tcW w:w="2137" w:type="dxa"/>
            <w:shd w:val="pct10" w:color="auto" w:fill="auto"/>
          </w:tcPr>
          <w:p w14:paraId="0000001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Teknik Özellikler</w:t>
            </w:r>
          </w:p>
        </w:tc>
        <w:tc>
          <w:tcPr>
            <w:cnfStyle w:val="000010010000"/>
            <w:tcW w:w="2680" w:type="dxa"/>
            <w:shd w:val="pct10" w:color="auto" w:fill="auto"/>
          </w:tcPr>
          <w:p w14:paraId="0000001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Teklif edilen özellikler </w:t>
            </w:r>
          </w:p>
          <w:p w14:paraId="0000001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(marka / model dâhil)</w:t>
            </w:r>
          </w:p>
        </w:tc>
        <w:tc>
          <w:tcPr>
            <w:cnfStyle w:val="000001010000"/>
            <w:tcW w:w="2268" w:type="dxa"/>
            <w:shd w:val="pct10" w:color="auto" w:fill="auto"/>
          </w:tcPr>
          <w:p w14:paraId="0000001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İlgili notlar, açıklamalar,</w:t>
            </w:r>
            <w:r>
              <w:rPr>
                <w:b/>
                <w:sz w:val="20"/>
                <w:szCs w:val="20"/>
              </w:rPr>
              <w:br w:type="textWrapping"/>
            </w:r>
            <w:r>
              <w:rPr>
                <w:b/>
                <w:sz w:val="20"/>
                <w:szCs w:val="20"/>
              </w:rPr>
              <w:t>dokümantasyon</w:t>
            </w:r>
          </w:p>
        </w:tc>
        <w:tc>
          <w:tcPr>
            <w:cnfStyle w:val="000010010000"/>
            <w:tcW w:w="1842" w:type="dxa"/>
            <w:tcBorders>
              <w:bottom w:val="single" w:color="auto" w:sz="4" w:space="0"/>
            </w:tcBorders>
            <w:shd w:val="pct10" w:color="auto" w:fill="auto"/>
          </w:tcPr>
          <w:p w14:paraId="0000001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Değerlendirme Komitesinin notları </w:t>
            </w:r>
          </w:p>
        </w:tc>
      </w:tr>
      <w:tr>
        <w:trPr>
          <w:cnfStyle w:val="000000100000"/>
          <w:cantSplit w:val="on"/>
          <w:trHeight w:val="468"/>
        </w:trPr>
        <w:tc>
          <w:tcPr>
            <w:cnfStyle w:val="000010100000"/>
            <w:tcW w:w="756" w:type="dxa"/>
            <w:vAlign w:val="center"/>
          </w:tcPr>
          <w:p w14:paraId="000000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cnfStyle w:val="000001100000"/>
            <w:tcW w:w="2137" w:type="dxa"/>
            <w:vAlign w:val="center"/>
          </w:tcPr>
          <w:p w14:paraId="00000016">
            <w:pPr>
              <w:rPr>
                <w:sz w:val="20"/>
                <w:szCs w:val="20"/>
              </w:rPr>
            </w:pPr>
            <w:r>
              <w:rPr>
                <w:b/>
                <w:bCs/>
              </w:rPr>
              <w:t>EXCELL 203 ELEK</w:t>
            </w:r>
            <w:r>
              <w:rPr>
                <w:b/>
                <w:bCs/>
              </w:rPr>
              <w:t xml:space="preserve"> DEĞİŞİM </w:t>
            </w:r>
            <w:r>
              <w:rPr>
                <w:b/>
                <w:bCs/>
              </w:rPr>
              <w:t>SEHPASI :</w:t>
            </w:r>
            <w:r>
              <w:t xml:space="preserve"> KORKULUKLU</w:t>
            </w:r>
            <w:r>
              <w:t>, MERDİVENLİ BAKLAVALI SAC İLE KAPLANACAKTIR.1620 X 1200 X2600 mm ÖLÇÜLERİNDE  AYAKLAR 60X60 PROFİLDEN İMAL EDİLECEKTİR.</w:t>
            </w:r>
          </w:p>
        </w:tc>
        <w:tc>
          <w:tcPr>
            <w:cnfStyle w:val="000010100000"/>
            <w:tcW w:w="2680" w:type="dxa"/>
            <w:vAlign w:val="center"/>
          </w:tcPr>
          <w:p w14:paraId="00000017">
            <w:pPr>
              <w:rPr>
                <w:sz w:val="20"/>
                <w:szCs w:val="20"/>
              </w:rPr>
            </w:pPr>
          </w:p>
        </w:tc>
        <w:tc>
          <w:tcPr>
            <w:cnfStyle w:val="000001100000"/>
            <w:tcW w:w="2268" w:type="dxa"/>
            <w:vAlign w:val="center"/>
          </w:tcPr>
          <w:p w14:paraId="00000018">
            <w:pPr>
              <w:rPr>
                <w:sz w:val="20"/>
                <w:szCs w:val="20"/>
              </w:rPr>
            </w:pPr>
          </w:p>
        </w:tc>
        <w:tc>
          <w:tcPr>
            <w:cnfStyle w:val="000010100000"/>
            <w:tcW w:w="1842" w:type="dxa"/>
            <w:tcBorders>
              <w:bottom w:val="single" w:color="auto" w:sz="4" w:space="0"/>
            </w:tcBorders>
            <w:shd w:val="thinHorzCross" w:color="auto" w:fill="auto"/>
            <w:vAlign w:val="center"/>
          </w:tcPr>
          <w:p w14:paraId="00000019">
            <w:pPr>
              <w:rPr>
                <w:sz w:val="20"/>
                <w:szCs w:val="20"/>
              </w:rPr>
            </w:pPr>
          </w:p>
        </w:tc>
      </w:tr>
      <w:tr>
        <w:trPr>
          <w:cnfStyle w:val="000000010000"/>
          <w:cantSplit w:val="on"/>
          <w:trHeight w:val="418"/>
        </w:trPr>
        <w:tc>
          <w:tcPr>
            <w:cnfStyle w:val="000010010000"/>
            <w:tcW w:w="756" w:type="dxa"/>
            <w:vAlign w:val="center"/>
          </w:tcPr>
          <w:p w14:paraId="0000001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cnfStyle w:val="000001010000"/>
            <w:tcW w:w="2137" w:type="dxa"/>
            <w:vAlign w:val="center"/>
          </w:tcPr>
          <w:p w14:paraId="0000001B">
            <w:pPr>
              <w:rPr>
                <w:sz w:val="20"/>
                <w:szCs w:val="20"/>
              </w:rPr>
            </w:pPr>
            <w:r>
              <w:rPr>
                <w:b/>
                <w:bCs/>
              </w:rPr>
              <w:t>EXCELL 203 TURBO SÜPER HASSAS ELEME MAKİNESİ:</w:t>
            </w:r>
            <w:r>
              <w:t xml:space="preserve"> STANDART BORU TİPİ  </w:t>
            </w:r>
            <w:r>
              <w:t>BOY : 10</w:t>
            </w:r>
            <w:r>
              <w:t xml:space="preserve"> METRBOY : 10 METRE  </w:t>
            </w:r>
            <w:r>
              <w:t xml:space="preserve">SELF CLEAN SİSTEMLİ  KOVA ÖLÇÜSÜ : 200 mm  STANDART 60LIK HAVUZLU  HAVUZ KAPAKLI OLACAKTIR.  MOTOR </w:t>
            </w:r>
            <w:r>
              <w:t>GÜCÜ : 2</w:t>
            </w:r>
            <w:r>
              <w:t>,2 KW 88 D/D FRENLİ  MODELİ : PLASTİK KEPÇELİ ELEVATÖR  KAYIŞ TİPİ : 4 KAT 6 MM SİYAH KAUÇUK  STANDART KAYNAKLI AVİZE VE GALVANİZ AVİZELİ,  KAYIŞ GER</w:t>
            </w:r>
            <w:r>
              <w:t xml:space="preserve">DİRME VE GÖZETLEME SİSTEMLİ OLACAKTIR.  TÜM GÖVDE VE KAİDELER KOMPLE CİVATALI SİSTEM OLACAKTIR.  TÜM GÖVDE VE KAİDELER LAZER KESİM </w:t>
            </w:r>
            <w:r>
              <w:t>MAKİNELERİNDE   KESİLECEKTİR</w:t>
            </w:r>
          </w:p>
        </w:tc>
        <w:tc>
          <w:tcPr>
            <w:cnfStyle w:val="000010010000"/>
            <w:tcW w:w="2680" w:type="dxa"/>
            <w:vAlign w:val="center"/>
          </w:tcPr>
          <w:p w14:paraId="000000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cnfStyle w:val="000001010000"/>
            <w:tcW w:w="2268" w:type="dxa"/>
            <w:vAlign w:val="center"/>
          </w:tcPr>
          <w:p w14:paraId="0000001D">
            <w:pPr>
              <w:rPr>
                <w:sz w:val="20"/>
                <w:szCs w:val="20"/>
              </w:rPr>
            </w:pPr>
          </w:p>
        </w:tc>
        <w:tc>
          <w:tcPr>
            <w:cnfStyle w:val="000010010000"/>
            <w:tcW w:w="1842" w:type="dxa"/>
            <w:tcBorders>
              <w:bottom w:val="single" w:color="auto" w:sz="4" w:space="0"/>
            </w:tcBorders>
            <w:shd w:val="thinHorzCross" w:color="auto" w:fill="auto"/>
            <w:vAlign w:val="center"/>
          </w:tcPr>
          <w:p w14:paraId="0000001E">
            <w:pPr>
              <w:rPr>
                <w:sz w:val="20"/>
                <w:szCs w:val="20"/>
              </w:rPr>
            </w:pPr>
          </w:p>
        </w:tc>
      </w:tr>
      <w:tr>
        <w:trPr>
          <w:cnfStyle w:val="000000100000"/>
          <w:cantSplit w:val="on"/>
          <w:trHeight w:val="423"/>
        </w:trPr>
        <w:tc>
          <w:tcPr>
            <w:cnfStyle w:val="000010100000"/>
            <w:tcW w:w="756" w:type="dxa"/>
            <w:vAlign w:val="center"/>
          </w:tcPr>
          <w:p w14:paraId="0000001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cnfStyle w:val="000001100000"/>
            <w:tcW w:w="2137" w:type="dxa"/>
            <w:vAlign w:val="center"/>
          </w:tcPr>
          <w:p w14:paraId="00000020">
            <w:pPr>
              <w:rPr>
                <w:sz w:val="20"/>
                <w:szCs w:val="20"/>
              </w:rPr>
            </w:pPr>
            <w:r>
              <w:rPr>
                <w:b/>
                <w:bCs/>
              </w:rPr>
              <w:t>KOVALI ELEVATÖR 200 6 MT</w:t>
            </w:r>
            <w:r>
              <w:rPr>
                <w:b/>
                <w:bCs/>
              </w:rPr>
              <w:t xml:space="preserve">: </w:t>
            </w:r>
            <w:r>
              <w:t xml:space="preserve">STANDART BORU TİPİ </w:t>
            </w:r>
            <w:r>
              <w:t>BOY : 6</w:t>
            </w:r>
            <w:r>
              <w:t xml:space="preserve"> METRE SELF CLEAN SİSTEMLİ KOVA ÖLÇÜSÜ </w:t>
            </w:r>
            <w:r>
              <w:t>: 200 mm STANDART 60LIK HAVUZLU HAVUZ KAPAKLI OLACAKTIR MOTOR GÜCÜ : 1,5 KW 88 D/D MODELİ : PLASTİK KEPÇELİ ELEVATÖR KAYIŞ TİPİ : 4 KAT 6 MM SİYAH KAUÇUK STANDART KAYNAKLI AVİZE VE GALVANİZ AVİZELİ, KAYIŞ GERDİRME VE GÖZETLEME SİSTEMLİ OLACAKTIR. TÜM GÖVDE</w:t>
            </w:r>
            <w:r>
              <w:t xml:space="preserve"> VE KAİDELER KOMPLE CİVATALI SİSTEM OLACAKTIR. TÜM GÖVDE VE KAİDELER LAZER KESİM MAKİNELERİNDE KESİLECEKTİR</w:t>
            </w:r>
          </w:p>
        </w:tc>
        <w:tc>
          <w:tcPr>
            <w:cnfStyle w:val="000010100000"/>
            <w:tcW w:w="2680" w:type="dxa"/>
            <w:vAlign w:val="center"/>
          </w:tcPr>
          <w:p w14:paraId="000000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cnfStyle w:val="000001100000"/>
            <w:tcW w:w="2268" w:type="dxa"/>
            <w:vAlign w:val="center"/>
          </w:tcPr>
          <w:p w14:paraId="00000022">
            <w:pPr>
              <w:rPr>
                <w:sz w:val="20"/>
                <w:szCs w:val="20"/>
              </w:rPr>
            </w:pPr>
          </w:p>
        </w:tc>
        <w:tc>
          <w:tcPr>
            <w:cnfStyle w:val="000010100000"/>
            <w:tcW w:w="1842" w:type="dxa"/>
            <w:tcBorders>
              <w:bottom w:val="nil" w:sz="4" w:space="0"/>
            </w:tcBorders>
            <w:shd w:val="thinHorzCross" w:color="auto" w:fill="auto"/>
            <w:vAlign w:val="center"/>
          </w:tcPr>
          <w:p w14:paraId="00000023">
            <w:pPr>
              <w:rPr>
                <w:sz w:val="20"/>
                <w:szCs w:val="20"/>
              </w:rPr>
            </w:pPr>
          </w:p>
        </w:tc>
      </w:tr>
      <w:tr>
        <w:trPr>
          <w:cnfStyle w:val="000000010000"/>
          <w:cantSplit w:val="on"/>
          <w:trHeight w:val="476"/>
        </w:trPr>
        <w:tc>
          <w:tcPr>
            <w:cnfStyle w:val="000010010000"/>
            <w:tcW w:w="756" w:type="dxa"/>
            <w:vAlign w:val="center"/>
          </w:tcPr>
          <w:p w14:paraId="0000002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cnfStyle w:val="000001010000"/>
            <w:tcW w:w="2137" w:type="dxa"/>
            <w:vAlign w:val="center"/>
          </w:tcPr>
          <w:p w14:paraId="00000025">
            <w:pPr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EXCELL 203 ELEK DEĞİŞİM </w:t>
            </w:r>
            <w:r>
              <w:rPr>
                <w:b/>
                <w:bCs/>
              </w:rPr>
              <w:t>SEHPASI</w:t>
            </w:r>
            <w:r>
              <w:rPr>
                <w:b/>
                <w:bCs/>
              </w:rPr>
              <w:t>:</w:t>
            </w:r>
            <w:r>
              <w:t>KORKULUKLU</w:t>
            </w:r>
            <w:r>
              <w:t xml:space="preserve">, MERDİVENLİ BAKLAVALI SAC İLE KAPLANACAKTIR. 1620 X 1200 X2600 mm ÖLÇÜLERİNDE AYAKLAR 60X60 </w:t>
            </w:r>
            <w:r>
              <w:t>PROFİLDEN İMAL EDİLECEKTİR</w:t>
            </w:r>
          </w:p>
        </w:tc>
        <w:tc>
          <w:tcPr>
            <w:cnfStyle w:val="000010010000"/>
            <w:tcW w:w="2680" w:type="dxa"/>
            <w:vAlign w:val="center"/>
          </w:tcPr>
          <w:p w14:paraId="00000026">
            <w:pPr>
              <w:rPr>
                <w:sz w:val="20"/>
                <w:szCs w:val="20"/>
              </w:rPr>
            </w:pPr>
          </w:p>
        </w:tc>
        <w:tc>
          <w:tcPr>
            <w:cnfStyle w:val="000001010000"/>
            <w:tcW w:w="2268" w:type="dxa"/>
            <w:vAlign w:val="center"/>
          </w:tcPr>
          <w:p w14:paraId="00000027">
            <w:pPr>
              <w:rPr>
                <w:sz w:val="20"/>
                <w:szCs w:val="20"/>
              </w:rPr>
            </w:pPr>
          </w:p>
        </w:tc>
        <w:tc>
          <w:tcPr>
            <w:cnfStyle w:val="000010010000"/>
            <w:tcW w:w="1842" w:type="dxa"/>
            <w:tcBorders>
              <w:top w:val="nil" w:sz="4" w:space="0"/>
              <w:bottom w:val="nil" w:sz="4" w:space="0"/>
            </w:tcBorders>
            <w:shd w:val="thinHorzCross" w:color="auto" w:fill="auto"/>
            <w:vAlign w:val="center"/>
          </w:tcPr>
          <w:p w14:paraId="00000028">
            <w:pPr>
              <w:rPr>
                <w:sz w:val="20"/>
                <w:szCs w:val="20"/>
              </w:rPr>
            </w:pPr>
          </w:p>
        </w:tc>
      </w:tr>
      <w:tr>
        <w:trPr>
          <w:cnfStyle w:val="000000100000"/>
          <w:cantSplit w:val="on"/>
          <w:trHeight w:val="409"/>
        </w:trPr>
        <w:tc>
          <w:tcPr>
            <w:cnfStyle w:val="000010100000"/>
            <w:tcW w:w="756" w:type="dxa"/>
            <w:vAlign w:val="center"/>
          </w:tcPr>
          <w:p w14:paraId="000000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cnfStyle w:val="000001100000"/>
            <w:tcW w:w="2137" w:type="dxa"/>
            <w:vAlign w:val="center"/>
          </w:tcPr>
          <w:p w14:paraId="0000002A">
            <w:pPr>
              <w:rPr>
                <w:sz w:val="20"/>
                <w:szCs w:val="20"/>
              </w:rPr>
            </w:pPr>
            <w:r>
              <w:rPr>
                <w:b/>
                <w:bCs/>
              </w:rPr>
              <w:t>EXCELL 203 TURBO SÜPER HASSAS ELEME MAKİNESİ</w:t>
            </w:r>
            <w:r>
              <w:rPr>
                <w:b/>
                <w:bCs/>
              </w:rPr>
              <w:t xml:space="preserve">: </w:t>
            </w:r>
            <w:r>
              <w:t xml:space="preserve">STANDART 1 ADET EKSANTRİKLİ - ÇİFTLİ BİR ELEK ÜSTÜ (KABA) İKİ ELEK ALTI ÇIKIŞI VE ÜÇ BOY ALABİLME </w:t>
            </w:r>
            <w:r>
              <w:t>İMKANLI</w:t>
            </w:r>
            <w:r>
              <w:t xml:space="preserve"> ELEK SAYSI: 9 ADET ELEK GENİŞLİĞİ: 1.200 X 2.400 mm ELEME ALANI: 9 M2 </w:t>
            </w:r>
            <w:r>
              <w:t>TÜM SİSTEM KOMPLE KAPALI OLACAKTIR. ELEK ALTI TOPLU SİSTEM TEMİZLEMELİ ÇIKIŞ OLUKLARI ÜZERİNDE OLACAKTIR. TOPLAR SABİT ELEK KIZAKLI OLACAKTIR. ÜRÜN GİRİŞİ EKSANTRİK AYARLANABİLİR DAĞITICILI 3 ADET AKTÜATÖRLÜ STROK 100MM PLC KONTROLLÜ STANDART ELEK DEĞİŞTİR</w:t>
            </w:r>
            <w:r>
              <w:t xml:space="preserve">ME SEHPALI 11 KW 1400 D/D FLANŞLI MOTOR 1 ADET ( HAVA EMİŞ ASPİRATÖRÜ HIZ KONTROLLÜ) 1.5 KW 1400 D/D MOTOR 2 ADET ( 2 ALT FAN </w:t>
            </w:r>
            <w:r>
              <w:t>MOTORU : HIZ</w:t>
            </w:r>
            <w:r>
              <w:t xml:space="preserve"> KONTROLLÜ ) 2.2 KW 1000 D/D MOTOR 1 ADET( EKSANTRİK MOTORU: HIZ KONTROLLÜ ) 0,75 KW 1400 D/D MOTOR 1 ADET ( DAĞITICI </w:t>
            </w:r>
            <w:r>
              <w:t>MOTORU : HIZ KONTROLLÜ ) 0,55 KW 70 D/D SONSUZ REDÜKTÖRLÜ MOTOR 1 ADET ( HELEZON MOTORLU ) 2 ADET YARI BOŞ OLUĞU ÇIKIŞLI 2 ADET ÇÖP OLUĞU ÇIKIŞLI</w:t>
            </w:r>
          </w:p>
        </w:tc>
        <w:tc>
          <w:tcPr>
            <w:cnfStyle w:val="000010100000"/>
            <w:tcW w:w="2680" w:type="dxa"/>
            <w:vAlign w:val="center"/>
          </w:tcPr>
          <w:p w14:paraId="0000002B">
            <w:pPr>
              <w:rPr>
                <w:sz w:val="20"/>
                <w:szCs w:val="20"/>
              </w:rPr>
            </w:pPr>
          </w:p>
        </w:tc>
        <w:tc>
          <w:tcPr>
            <w:cnfStyle w:val="000001100000"/>
            <w:tcW w:w="2268" w:type="dxa"/>
            <w:vAlign w:val="center"/>
          </w:tcPr>
          <w:p w14:paraId="0000002C">
            <w:pPr>
              <w:rPr>
                <w:sz w:val="20"/>
                <w:szCs w:val="20"/>
              </w:rPr>
            </w:pPr>
          </w:p>
        </w:tc>
        <w:tc>
          <w:tcPr>
            <w:cnfStyle w:val="000010100000"/>
            <w:tcW w:w="1842" w:type="dxa"/>
            <w:tcBorders>
              <w:top w:val="nil" w:sz="4" w:space="0"/>
            </w:tcBorders>
            <w:shd w:val="thinHorzCross" w:color="auto" w:fill="auto"/>
            <w:vAlign w:val="center"/>
          </w:tcPr>
          <w:p w14:paraId="0000002D">
            <w:pPr>
              <w:rPr>
                <w:sz w:val="20"/>
                <w:szCs w:val="20"/>
              </w:rPr>
            </w:pPr>
          </w:p>
        </w:tc>
      </w:tr>
      <w:tr>
        <w:trPr>
          <w:cnfStyle w:val="000000010000"/>
          <w:cantSplit w:val="on"/>
          <w:trHeight w:val="409"/>
        </w:trPr>
        <w:tc>
          <w:tcPr>
            <w:cnfStyle w:val="000010010000"/>
            <w:tcW w:w="756" w:type="dxa"/>
            <w:vAlign w:val="center"/>
          </w:tcPr>
          <w:p w14:paraId="000000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cnfStyle w:val="000001010000"/>
            <w:tcW w:w="2137" w:type="dxa"/>
            <w:vAlign w:val="center"/>
          </w:tcPr>
          <w:p w14:paraId="0000002F">
            <w:pPr>
              <w:rPr>
                <w:sz w:val="20"/>
                <w:szCs w:val="20"/>
              </w:rPr>
            </w:pPr>
            <w:r>
              <w:rPr>
                <w:b/>
                <w:bCs/>
              </w:rPr>
              <w:t>11 KW TOZ EMİŞ ASPİRATÖRÜ 1500 D/D</w:t>
            </w:r>
            <w:r>
              <w:rPr>
                <w:b/>
                <w:bCs/>
              </w:rPr>
              <w:t>:</w:t>
            </w:r>
            <w:r>
              <w:t xml:space="preserve">STANDART 11 KW 1400 D/D HIZ KONTROLLÜ SEHPALI OLACAKTIR. HAVA </w:t>
            </w:r>
            <w:r>
              <w:t xml:space="preserve">AYARI : </w:t>
            </w:r>
            <w:r>
              <w:t>MANUEL</w:t>
            </w:r>
            <w:r>
              <w:t xml:space="preserve"> KLAPELİ GİRİŞ VE ÇIKIŞI 30 'LUK BORUYA GÖRE İMAL EDİLMEKTEDİR.</w:t>
            </w:r>
          </w:p>
        </w:tc>
        <w:tc>
          <w:tcPr>
            <w:cnfStyle w:val="000010010000"/>
            <w:tcW w:w="2680" w:type="dxa"/>
            <w:vAlign w:val="center"/>
          </w:tcPr>
          <w:p w14:paraId="00000030">
            <w:pPr>
              <w:rPr>
                <w:sz w:val="20"/>
                <w:szCs w:val="20"/>
              </w:rPr>
            </w:pPr>
          </w:p>
        </w:tc>
        <w:tc>
          <w:tcPr>
            <w:cnfStyle w:val="000001010000"/>
            <w:tcW w:w="2268" w:type="dxa"/>
            <w:vAlign w:val="center"/>
          </w:tcPr>
          <w:p w14:paraId="00000031">
            <w:pPr>
              <w:rPr>
                <w:sz w:val="20"/>
                <w:szCs w:val="20"/>
              </w:rPr>
            </w:pPr>
          </w:p>
        </w:tc>
        <w:tc>
          <w:tcPr>
            <w:cnfStyle w:val="000010010000"/>
            <w:tcW w:w="1842" w:type="dxa"/>
            <w:tcBorders>
              <w:top w:val="nil" w:sz="4" w:space="0"/>
            </w:tcBorders>
            <w:shd w:val="thinHorzCross" w:color="auto" w:fill="auto"/>
            <w:vAlign w:val="center"/>
          </w:tcPr>
          <w:p w14:paraId="00000032">
            <w:pPr>
              <w:rPr>
                <w:sz w:val="20"/>
                <w:szCs w:val="20"/>
              </w:rPr>
            </w:pPr>
          </w:p>
        </w:tc>
      </w:tr>
      <w:tr>
        <w:trPr>
          <w:cnfStyle w:val="000000100000"/>
          <w:cantSplit w:val="on"/>
          <w:trHeight w:val="409"/>
        </w:trPr>
        <w:tc>
          <w:tcPr>
            <w:cnfStyle w:val="000010100000"/>
            <w:tcW w:w="756" w:type="dxa"/>
            <w:vAlign w:val="center"/>
          </w:tcPr>
          <w:p w14:paraId="0000003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cnfStyle w:val="000001100000"/>
            <w:tcW w:w="2137" w:type="dxa"/>
            <w:vAlign w:val="center"/>
          </w:tcPr>
          <w:p w14:paraId="00000034">
            <w:pPr>
              <w:rPr>
                <w:sz w:val="20"/>
                <w:szCs w:val="20"/>
              </w:rPr>
            </w:pPr>
            <w:r>
              <w:rPr>
                <w:b/>
                <w:bCs/>
              </w:rPr>
              <w:t>KOVALI ELEVATÖR 200 7 MT</w:t>
            </w:r>
            <w:r>
              <w:t xml:space="preserve">: STANDART BORU TİPİ </w:t>
            </w:r>
            <w:r>
              <w:t>BOY : 7</w:t>
            </w:r>
            <w:r>
              <w:t xml:space="preserve"> METRE SELF CLEAN SİSTEMLİ KOVA ÖLÇÜSÜ : 200 mm STANDART 60LIK HAVUZLU HAVUZ KAPAKLI OLACAKTIR MOTOR GÜCÜ : 1,5 KW 88 D/D MODELİ </w:t>
            </w:r>
            <w:r>
              <w:t>: PLASTİK KEPÇELİ ELEVATÖR KAYIŞ TİPİ : 4 KAT 6 MM SİYAH KAUÇUK STANDART KAYNAKLI AVİZE VE GALVANİZ AVİZELİ, KAYIŞ GERDİRME VE GÖZETLEME SİSTEMLİ OLACAKTIR. TÜM GÖVDE VE KAİDELER KOMPLE CİVATALI SİSTEM OLACAKTIR. TÜM GÖVDE VE KAİDELER LAZER KESİM MAKİNELER</w:t>
            </w:r>
            <w:r>
              <w:t>İNDE KESİLECEKTİR</w:t>
            </w:r>
          </w:p>
        </w:tc>
        <w:tc>
          <w:tcPr>
            <w:cnfStyle w:val="000010100000"/>
            <w:tcW w:w="2680" w:type="dxa"/>
            <w:vAlign w:val="center"/>
          </w:tcPr>
          <w:p w14:paraId="00000035">
            <w:pPr>
              <w:rPr>
                <w:sz w:val="20"/>
                <w:szCs w:val="20"/>
              </w:rPr>
            </w:pPr>
          </w:p>
        </w:tc>
        <w:tc>
          <w:tcPr>
            <w:cnfStyle w:val="000001100000"/>
            <w:tcW w:w="2268" w:type="dxa"/>
            <w:vAlign w:val="center"/>
          </w:tcPr>
          <w:p w14:paraId="00000036">
            <w:pPr>
              <w:rPr>
                <w:sz w:val="20"/>
                <w:szCs w:val="20"/>
              </w:rPr>
            </w:pPr>
          </w:p>
        </w:tc>
        <w:tc>
          <w:tcPr>
            <w:cnfStyle w:val="000010100000"/>
            <w:tcW w:w="1842" w:type="dxa"/>
            <w:tcBorders>
              <w:top w:val="nil" w:sz="4" w:space="0"/>
            </w:tcBorders>
            <w:shd w:val="thinHorzCross" w:color="auto" w:fill="auto"/>
            <w:vAlign w:val="center"/>
          </w:tcPr>
          <w:p w14:paraId="00000037">
            <w:pPr>
              <w:rPr>
                <w:sz w:val="20"/>
                <w:szCs w:val="20"/>
              </w:rPr>
            </w:pPr>
          </w:p>
        </w:tc>
      </w:tr>
    </w:tbl>
    <w:p w14:paraId="00000038">
      <w:pPr>
        <w:spacing w:beforeAutospacing="0" w:after="120" w:afterAutospacing="0"/>
        <w:rPr>
          <w:b/>
          <w:sz w:val="20"/>
          <w:szCs w:val="20"/>
        </w:rPr>
      </w:pPr>
      <w:r>
        <w:rPr>
          <w:b/>
          <w:sz w:val="20"/>
          <w:szCs w:val="20"/>
        </w:rPr>
        <w:t>B Sütunu</w:t>
      </w:r>
      <w:r>
        <w:rPr>
          <w:b/>
          <w:sz w:val="20"/>
          <w:szCs w:val="20"/>
        </w:rPr>
        <w:tab/>
        <w:t>: “Teknik Özellikler”</w:t>
      </w:r>
    </w:p>
    <w:p w14:paraId="00000039">
      <w:pPr>
        <w:numPr>
          <w:ilvl w:val="0"/>
          <w:numId w:val="1"/>
        </w:numPr>
        <w:tabs>
          <w:tab w:val="clear" w:pos="720"/>
        </w:tabs>
        <w:spacing w:beforeAutospacing="0" w:after="120" w:afterAutospacing="0"/>
        <w:ind w:left="714" w:hanging="357"/>
        <w:rPr>
          <w:sz w:val="20"/>
          <w:szCs w:val="20"/>
        </w:rPr>
      </w:pPr>
      <w:r>
        <w:rPr>
          <w:sz w:val="20"/>
          <w:szCs w:val="20"/>
        </w:rPr>
        <w:t xml:space="preserve">İstenen özellikleri gösterir, Söz.EK2’deki “Teknik </w:t>
      </w:r>
      <w:r>
        <w:rPr>
          <w:sz w:val="20"/>
          <w:szCs w:val="20"/>
        </w:rPr>
        <w:t>Şartname”</w:t>
      </w:r>
      <w:r>
        <w:rPr>
          <w:sz w:val="20"/>
          <w:szCs w:val="20"/>
        </w:rPr>
        <w:t>de</w:t>
      </w:r>
      <w:r>
        <w:rPr>
          <w:sz w:val="20"/>
          <w:szCs w:val="20"/>
        </w:rPr>
        <w:t xml:space="preserve"> belirtilen Teknik Özellikler ile aynıdır.</w:t>
      </w:r>
    </w:p>
    <w:p w14:paraId="0000003A">
      <w:pPr>
        <w:spacing w:beforeAutospacing="0" w:after="120" w:afterAutospacing="0"/>
        <w:rPr>
          <w:sz w:val="20"/>
          <w:szCs w:val="20"/>
        </w:rPr>
      </w:pPr>
      <w:r>
        <w:rPr>
          <w:b/>
          <w:sz w:val="20"/>
          <w:szCs w:val="20"/>
        </w:rPr>
        <w:t>D Sütunu</w:t>
      </w:r>
      <w:r>
        <w:rPr>
          <w:b/>
          <w:sz w:val="20"/>
          <w:szCs w:val="20"/>
        </w:rPr>
        <w:tab/>
        <w:t xml:space="preserve">: </w:t>
      </w:r>
      <w:r>
        <w:rPr>
          <w:sz w:val="20"/>
          <w:szCs w:val="20"/>
        </w:rPr>
        <w:t>“</w:t>
      </w:r>
      <w:r>
        <w:rPr>
          <w:b/>
          <w:sz w:val="20"/>
          <w:szCs w:val="20"/>
        </w:rPr>
        <w:t>Teklif edilen özellikler</w:t>
      </w:r>
      <w:r>
        <w:rPr>
          <w:sz w:val="20"/>
          <w:szCs w:val="20"/>
        </w:rPr>
        <w:t>”</w:t>
      </w:r>
    </w:p>
    <w:p w14:paraId="0000003B">
      <w:pPr>
        <w:numPr>
          <w:ilvl w:val="0"/>
          <w:numId w:val="1"/>
        </w:numPr>
        <w:tabs>
          <w:tab w:val="clear" w:pos="720"/>
        </w:tabs>
        <w:spacing w:beforeAutospacing="0" w:after="120" w:afterAutospacing="0"/>
        <w:ind w:left="714" w:hanging="357"/>
        <w:rPr>
          <w:sz w:val="20"/>
          <w:szCs w:val="20"/>
        </w:rPr>
      </w:pPr>
      <w:r>
        <w:rPr>
          <w:sz w:val="20"/>
          <w:szCs w:val="20"/>
        </w:rPr>
        <w:t>İstekli tarafından doldurulacaktır ve teklif edilen ürünlerin detaylı özelliklerini içerecektir(“uygun” veya “evet” gibi kelimeler yeterli değildir).</w:t>
      </w:r>
    </w:p>
    <w:p w14:paraId="0000003C">
      <w:pPr>
        <w:spacing w:beforeAutospacing="0" w:after="120" w:afterAutospacing="0"/>
        <w:rPr>
          <w:sz w:val="20"/>
          <w:szCs w:val="20"/>
        </w:rPr>
      </w:pPr>
      <w:r>
        <w:rPr>
          <w:b/>
          <w:sz w:val="20"/>
          <w:szCs w:val="20"/>
        </w:rPr>
        <w:t>E Sütunu</w:t>
      </w:r>
      <w:r>
        <w:rPr>
          <w:b/>
          <w:sz w:val="20"/>
          <w:szCs w:val="20"/>
        </w:rPr>
        <w:tab/>
        <w:t xml:space="preserve">: </w:t>
      </w:r>
      <w:r>
        <w:rPr>
          <w:sz w:val="20"/>
          <w:szCs w:val="20"/>
        </w:rPr>
        <w:t>“</w:t>
      </w:r>
      <w:r>
        <w:rPr>
          <w:b/>
          <w:sz w:val="20"/>
          <w:szCs w:val="20"/>
        </w:rPr>
        <w:t xml:space="preserve">İlgili </w:t>
      </w:r>
      <w:r>
        <w:rPr>
          <w:b/>
          <w:sz w:val="20"/>
          <w:szCs w:val="20"/>
        </w:rPr>
        <w:t>notlar, açıklamalar, dokümantasyon</w:t>
      </w:r>
      <w:r>
        <w:rPr>
          <w:sz w:val="20"/>
          <w:szCs w:val="20"/>
        </w:rPr>
        <w:t>”</w:t>
      </w:r>
    </w:p>
    <w:p w14:paraId="0000003D">
      <w:pPr>
        <w:numPr>
          <w:ilvl w:val="0"/>
          <w:numId w:val="1"/>
        </w:numPr>
        <w:tabs>
          <w:tab w:val="clear" w:pos="720"/>
        </w:tabs>
        <w:spacing w:beforeAutospacing="0" w:after="120" w:afterAutospacing="0"/>
        <w:ind w:left="714" w:hanging="357"/>
        <w:rPr>
          <w:sz w:val="20"/>
          <w:szCs w:val="20"/>
        </w:rPr>
      </w:pPr>
      <w:r>
        <w:rPr>
          <w:sz w:val="20"/>
          <w:szCs w:val="20"/>
        </w:rPr>
        <w:t>İsteklinin teklif ettiği ürün hakkında açıklama yapmalı ve ilgili dokümanlara referans vermelidir.</w:t>
      </w:r>
    </w:p>
    <w:p w14:paraId="0000003E">
      <w:pPr>
        <w:spacing w:beforeAutospacing="0" w:after="120" w:afterAutospacing="0"/>
        <w:rPr>
          <w:sz w:val="20"/>
          <w:szCs w:val="20"/>
        </w:rPr>
      </w:pPr>
      <w:r>
        <w:rPr>
          <w:b/>
          <w:sz w:val="20"/>
          <w:szCs w:val="20"/>
        </w:rPr>
        <w:t>F Sütunu</w:t>
      </w:r>
      <w:r>
        <w:rPr>
          <w:b/>
          <w:sz w:val="20"/>
          <w:szCs w:val="20"/>
        </w:rPr>
        <w:tab/>
        <w:t xml:space="preserve">: </w:t>
      </w:r>
      <w:r>
        <w:rPr>
          <w:sz w:val="20"/>
          <w:szCs w:val="20"/>
        </w:rPr>
        <w:t>“</w:t>
      </w:r>
      <w:r>
        <w:rPr>
          <w:b/>
          <w:sz w:val="20"/>
          <w:szCs w:val="20"/>
        </w:rPr>
        <w:t>Değerlendirme Komitesi notları</w:t>
      </w:r>
      <w:r>
        <w:rPr>
          <w:sz w:val="20"/>
          <w:szCs w:val="20"/>
        </w:rPr>
        <w:t>”</w:t>
      </w:r>
    </w:p>
    <w:p w14:paraId="0000003F">
      <w:pPr>
        <w:numPr>
          <w:ilvl w:val="0"/>
          <w:numId w:val="1"/>
        </w:numPr>
        <w:tabs>
          <w:tab w:val="clear" w:pos="720"/>
        </w:tabs>
        <w:spacing w:beforeAutospacing="0" w:after="120" w:afterAutospacing="0"/>
        <w:ind w:left="714" w:hanging="357"/>
        <w:rPr>
          <w:sz w:val="20"/>
          <w:szCs w:val="20"/>
        </w:rPr>
      </w:pPr>
      <w:r>
        <w:rPr>
          <w:sz w:val="20"/>
          <w:szCs w:val="20"/>
        </w:rPr>
        <w:t xml:space="preserve">Komisyon (Komite) üyelerinin doldurması için boş bırakılacaktır. </w:t>
      </w:r>
    </w:p>
    <w:p w14:paraId="00000040">
      <w:pPr>
        <w:spacing w:beforeAutospacing="0" w:after="120" w:afterAutospacing="0"/>
        <w:rPr>
          <w:sz w:val="20"/>
          <w:szCs w:val="20"/>
        </w:rPr>
      </w:pPr>
      <w:r>
        <w:rPr>
          <w:sz w:val="20"/>
          <w:szCs w:val="20"/>
        </w:rPr>
        <w:t>Verilen bil</w:t>
      </w:r>
      <w:r>
        <w:rPr>
          <w:sz w:val="20"/>
          <w:szCs w:val="20"/>
        </w:rPr>
        <w:t xml:space="preserve">giler ve dokümanlar teklif edilen modelleri, varsa farklı seçenekleri açık olarak belirtmelidir. Teklif </w:t>
      </w:r>
      <w:r>
        <w:rPr>
          <w:sz w:val="20"/>
          <w:szCs w:val="20"/>
        </w:rPr>
        <w:t>edilen</w:t>
      </w:r>
      <w:r>
        <w:rPr>
          <w:sz w:val="20"/>
          <w:szCs w:val="20"/>
        </w:rPr>
        <w:t xml:space="preserve"> özelliklerle istenen özelliklerin kıyaslaması komite üyeleri tarafından kolaylıkla yapılabilmelidir. </w:t>
      </w:r>
    </w:p>
    <w:p w14:paraId="00000041">
      <w:pPr>
        <w:spacing w:beforeAutospacing="0" w:after="120" w:afterAutospacing="0"/>
        <w:rPr>
          <w:sz w:val="20"/>
          <w:szCs w:val="20"/>
        </w:rPr>
      </w:pPr>
      <w:r>
        <w:rPr>
          <w:sz w:val="20"/>
          <w:szCs w:val="20"/>
        </w:rPr>
        <w:t>Komite üyelerinin verilen teklifleri tam ol</w:t>
      </w:r>
      <w:r>
        <w:rPr>
          <w:sz w:val="20"/>
          <w:szCs w:val="20"/>
        </w:rPr>
        <w:t>arak anlamaları gerekmektedir. Yeterli açıklıkta bulunmayan teklifler Değerlendirme Komitesi tarafından reddedilebilir.</w:t>
      </w:r>
    </w:p>
    <w:p w14:paraId="00000042">
      <w:pPr>
        <w:spacing w:beforeAutospacing="0" w:after="120" w:afterAutospacing="0"/>
        <w:rPr>
          <w:sz w:val="20"/>
          <w:szCs w:val="20"/>
        </w:rPr>
      </w:pPr>
    </w:p>
    <w:p w14:paraId="00000043">
      <w:pPr>
        <w:spacing w:beforeAutospacing="0" w:after="120" w:afterAutospacing="0"/>
        <w:rPr>
          <w:sz w:val="20"/>
          <w:szCs w:val="20"/>
        </w:rPr>
      </w:pPr>
      <w:r>
        <w:rPr>
          <w:sz w:val="20"/>
          <w:szCs w:val="20"/>
          <w:highlight w:val="lightGray"/>
        </w:rPr>
        <w:t>Fiyat teklifi ayrı zarfa konmalı ve kapalı olarak Teknik Teklif ile birlikte teslim edilmelidir.</w:t>
      </w:r>
    </w:p>
    <w:p w14:paraId="00000044">
      <w:pPr>
        <w:spacing w:beforeAutospacing="0" w:after="120" w:afterAutospacing="0"/>
        <w:rPr>
          <w:b/>
          <w:sz w:val="20"/>
          <w:szCs w:val="20"/>
        </w:rPr>
      </w:pPr>
    </w:p>
    <w:p w14:paraId="00000045">
      <w:pPr>
        <w:spacing w:beforeAutospacing="0" w:after="120" w:afterAutospacing="0"/>
        <w:rPr>
          <w:b/>
          <w:i/>
          <w:color w:val="000000"/>
          <w:sz w:val="20"/>
          <w:szCs w:val="20"/>
        </w:rPr>
      </w:pPr>
      <w:r>
        <w:rPr>
          <w:b/>
          <w:i/>
          <w:color w:val="000000"/>
          <w:sz w:val="20"/>
          <w:szCs w:val="20"/>
        </w:rPr>
        <w:t>İsteklinin Kaşesi</w:t>
      </w:r>
    </w:p>
    <w:p w14:paraId="00000046">
      <w:pPr>
        <w:spacing w:beforeAutospacing="0" w:after="120" w:afterAutospacing="0"/>
        <w:rPr>
          <w:b/>
          <w:i/>
          <w:color w:val="000000"/>
          <w:sz w:val="20"/>
          <w:szCs w:val="20"/>
        </w:rPr>
      </w:pPr>
      <w:r>
        <w:rPr>
          <w:b/>
          <w:i/>
          <w:color w:val="000000"/>
          <w:sz w:val="20"/>
          <w:szCs w:val="20"/>
        </w:rPr>
        <w:t xml:space="preserve">  Yetkili İmza</w:t>
      </w:r>
    </w:p>
    <w:p w14:paraId="00000047">
      <w:pPr>
        <w:spacing w:beforeAutospacing="0" w:after="120" w:afterAutospacing="0"/>
        <w:rPr>
          <w:b/>
          <w:sz w:val="20"/>
          <w:szCs w:val="20"/>
        </w:rPr>
      </w:pPr>
    </w:p>
    <w:p w14:paraId="00000048">
      <w:pPr>
        <w:spacing w:beforeAutospacing="0" w:after="120" w:afterAutospacing="0"/>
        <w:rPr>
          <w:b/>
          <w:sz w:val="20"/>
          <w:szCs w:val="20"/>
        </w:rPr>
      </w:pPr>
    </w:p>
    <w:p w14:paraId="00000049">
      <w:r>
        <w:rPr>
          <w:rStyle w:val="Başlık1Char"/>
          <w:lang w:val="tr-TR"/>
        </w:rPr>
        <w:br w:type="page"/>
      </w:r>
    </w:p>
    <w:sectPr>
      <w:pgSz w:w="11906" w:h="16838"/>
      <w:pgMar w:top="1440" w:right="1440" w:bottom="1440" w:left="1440" w:header="708" w:footer="708" w:gutter="0"/>
      <w:paperSrc w:first="1" w:other="1"/>
      <w:cols w:space="720"/>
    </w:sectPr>
  </w:body>
</w:document>
</file>

<file path=word/commentsExtended.xml><?xml version="1.0" encoding="utf-8"?>
<w15:commentsEx xmlns:w15="http://schemas.microsoft.com/office/word/2012/wordml">
  <w15:commentEx w15:paraId="0000004A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00000000" w:usb1="00000000" w:usb2="00000009" w:usb3="00000000" w:csb0="000001ff" w:csb1="00000000"/>
  </w:font>
  <w:font w:name="Courier New">
    <w:panose1 w:val="02070309020205020404"/>
    <w:charset w:val="a2"/>
    <w:family w:val="modern"/>
    <w:pitch w:val="fixed"/>
    <w:sig w:usb0="00000000" w:usb1="00000000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00000000" w:csb1="00000000"/>
  </w:font>
  <w:font w:name="Calibri">
    <w:panose1 w:val="020f0502020204030204"/>
    <w:charset w:val="a2"/>
    <w:family w:val="swiss"/>
    <w:pitch w:val="variable"/>
    <w:sig w:usb0="00000000" w:usb1="00000000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00000000" w:usb1="00000000" w:usb2="00000009" w:usb3="00000000" w:csb0="000001ff" w:csb1="00000000"/>
  </w:font>
  <w:font w:name="Calibri Light">
    <w:panose1 w:val="020f0302020204030204"/>
    <w:charset w:val="a2"/>
    <w:family w:val="swiss"/>
    <w:pitch w:val="variable"/>
    <w:sig w:usb0="00000000" w:usb1="00000000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 w:val="on"/>
    <w:pitch w:val="default"/>
  </w:font>
  <w:font w:name="Segoe UI">
    <w:panose1 w:val="020b0502040204020203"/>
    <w:charset w:val="a2"/>
    <w:family w:val="swiss"/>
    <w:pitch w:val="variable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00000000" w:usb1="4000004b" w:usb2="00000000" w:usb3="00000000" w:csb0="0000009f" w:csb1="00000000"/>
  </w:font>
  <w:font w:name="Tahoma">
    <w:panose1 w:val="020b0604030504040204"/>
    <w:charset w:val="00"/>
    <w:family w:val="roman"/>
    <w:pitch w:val="variable"/>
    <w:sig w:usb0="61002a87" w:usb1="00000000" w:usb2="00000008" w:usb3="00000000" w:csb0="000001ff" w:csb1="00000000"/>
  </w:font>
  <w:font w:name="Verdana">
    <w:panose1 w:val="020b0604030504040204"/>
    <w:charset w:val="00"/>
    <w:family w:val="roman"/>
    <w:pitch w:val="variable"/>
    <w:sig w:usb0="00000000" w:usb1="4000205b" w:usb2="00000010" w:usb3="00000000" w:csb0="0000019f" w:csb1="00000000"/>
  </w:font>
  <w:font w:name="Helvetica Neue">
    <w:charset w:val="00"/>
    <w:family w:val="swiss"/>
    <w:pitch w:val="variable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14="http://schemas.microsoft.com/office/word/2010/wordml" xmlns:w="http://schemas.openxmlformats.org/wordprocessingml/2006/main">
  <w:abstractNum w:abstractNumId="0">
    <w:multiLevelType w:val="hybrid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cs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cs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cs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nus EFE">
    <w15:presenceInfo w15:providerId="None" w15:userId="Yunus EF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D0D"/>
    <w:rsid w:val="00317316"/>
    <w:rsid w:val="00633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96B0348"/>
  <w15:docId w15:val="{FB4017D4-D007-4BAA-BBCF-834C00FD69BD}"/>
</w:settings>
</file>

<file path=word/styles.xml><?xml version="1.0" encoding="utf-8"?>
<w:styles xmlns:r="http://schemas.openxmlformats.org/officeDocument/2006/relationships" xmlns:w14="http://schemas.microsoft.com/office/word/2010/wordml" xmlns:w="http://schemas.openxmlformats.org/wordprocessingml/2006/main">
  <w:docDefaults>
    <w:rPrDefault>
      <w:rPr>
        <w:rFonts w:asciiTheme="minorHAnsi" w:cstheme="minorBidi" w:eastAsiaTheme="minorEastAsia" w:hAnsiTheme="minorHAnsi"/>
        <w:sz w:val="22"/>
        <w:szCs w:val="22"/>
        <w:lang w:val="tr-TR" w:bidi="ar-SA" w:eastAsia="tr-TR"/>
      </w:rPr>
    </w:rPrDefault>
    <w:pPrDefault>
      <w:pPr>
        <w:spacing w:beforeAutospacing="0" w:after="200" w:afterAutospacing="0" w:line="276" w:lineRule="auto"/>
      </w:pPr>
    </w:pPrDefault>
  </w:docDefaults>
  <w:style w:type="character" w:customStyle="1" w:styleId="Heading1Char">
    <w:name w:val="Heading 1 Char"/>
    <w:uiPriority w:val="9"/>
    <w:rPr>
      <w:rFonts w:asciiTheme="majorHAnsi" w:cstheme="majorBidi" w:eastAsiaTheme="majorEastAsia" w:hAnsiTheme="majorHAnsi"/>
      <w:b/>
      <w:bCs/>
      <w:color w:val="2f5395" w:themeColor="accent1" w:themeShade="bf"/>
      <w:sz w:val="28"/>
      <w:szCs w:val="28"/>
    </w:rPr>
  </w:style>
  <w:style w:type="character" w:customStyle="1" w:styleId="Heading2Char">
    <w:name w:val="Heading 2 Char"/>
    <w:uiPriority w:val="9"/>
    <w:rPr>
      <w:rFonts w:asciiTheme="majorHAnsi" w:cstheme="majorBidi" w:eastAsiaTheme="majorEastAsia" w:hAnsiTheme="majorHAns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uiPriority w:val="9"/>
    <w:rPr>
      <w:rFonts w:asciiTheme="majorHAnsi" w:cstheme="majorBidi" w:eastAsiaTheme="majorEastAsia" w:hAnsiTheme="majorHAnsi"/>
      <w:b/>
      <w:bCs/>
      <w:color w:val="4472c4" w:themeColor="accent1"/>
    </w:rPr>
  </w:style>
  <w:style w:type="character" w:customStyle="1" w:styleId="Heading4Char">
    <w:name w:val="Heading 4 Char"/>
    <w:uiPriority w:val="9"/>
    <w:rPr>
      <w:rFonts w:asciiTheme="majorHAnsi" w:cstheme="majorBidi" w:eastAsiaTheme="majorEastAsia" w:hAnsiTheme="majorHAnsi"/>
      <w:b/>
      <w:bCs/>
      <w:i/>
      <w:iCs/>
      <w:color w:val="4472c4" w:themeColor="accent1"/>
    </w:rPr>
  </w:style>
  <w:style w:type="character" w:customStyle="1" w:styleId="Heading5Char">
    <w:name w:val="Heading 5 Char"/>
    <w:uiPriority w:val="9"/>
    <w:rPr>
      <w:rFonts w:asciiTheme="majorHAnsi" w:cstheme="majorBidi" w:eastAsiaTheme="majorEastAsia" w:hAnsiTheme="majorHAnsi"/>
      <w:color w:val="1f3763" w:themeColor="accent1" w:themeShade="7f"/>
    </w:rPr>
  </w:style>
  <w:style w:type="character" w:customStyle="1" w:styleId="Heading6Char">
    <w:name w:val="Heading 6 Char"/>
    <w:uiPriority w:val="9"/>
    <w:rPr>
      <w:rFonts w:asciiTheme="majorHAnsi" w:cstheme="majorBidi" w:eastAsiaTheme="majorEastAsia" w:hAnsiTheme="majorHAnsi"/>
      <w:i/>
      <w:iCs/>
      <w:color w:val="1f3763" w:themeColor="accent1" w:themeShade="7f"/>
    </w:rPr>
  </w:style>
  <w:style w:type="character" w:customStyle="1" w:styleId="Heading7Char">
    <w:name w:val="Heading 7 Char"/>
    <w:uiPriority w:val="9"/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character" w:customStyle="1" w:styleId="Heading8Char">
    <w:name w:val="Heading 8 Char"/>
    <w:uiPriority w:val="9"/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customStyle="1" w:styleId="Heading9Char">
    <w:name w:val="Heading 9 Char"/>
    <w:uiPriority w:val="9"/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customStyle="1" w:styleId="TitleChar">
    <w:name w:val="Title Char"/>
    <w:uiPriority w:val="10"/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character" w:customStyle="1" w:styleId="SubtitleChar">
    <w:name w:val="Subtitle Char"/>
    <w:uiPriority w:val="11"/>
    <w:rPr>
      <w:rFonts w:asciiTheme="majorHAnsi" w:cstheme="majorBidi" w:eastAsiaTheme="majorEastAsia" w:hAnsiTheme="majorHAnsi"/>
      <w:i/>
      <w:iCs/>
      <w:color w:val="4472c4" w:themeColor="accent1"/>
      <w:spacing w:val="15"/>
      <w:sz w:val="24"/>
      <w:szCs w:val="24"/>
    </w:rPr>
  </w:style>
  <w:style w:type="character" w:customStyle="1" w:styleId="QuoteChar">
    <w:name w:val="Quote Char"/>
    <w:uiPriority w:val="29"/>
    <w:rPr>
      <w:i/>
      <w:iCs/>
      <w:color w:val="000000" w:themeColor="text1"/>
    </w:rPr>
  </w:style>
  <w:style w:type="character" w:customStyle="1" w:styleId="IntenseQuoteChar">
    <w:name w:val="Intense Quote Char"/>
    <w:uiPriority w:val="30"/>
    <w:rPr>
      <w:b/>
      <w:bCs/>
      <w:i/>
      <w:iCs/>
      <w:color w:val="4472c4" w:themeColor="accent1"/>
    </w:rPr>
  </w:style>
  <w:style w:type="character" w:customStyle="1" w:styleId="FootnoteTextChar">
    <w:name w:val="Footnote Text Char"/>
    <w:uiPriority w:val="99"/>
    <w:semiHidden w:val="on"/>
    <w:rPr>
      <w:sz w:val="20"/>
      <w:szCs w:val="20"/>
    </w:rPr>
  </w:style>
  <w:style w:type="character" w:customStyle="1" w:styleId="EndnoteTextChar">
    <w:name w:val="Endnote Text Char"/>
    <w:uiPriority w:val="99"/>
    <w:semiHidden w:val="on"/>
    <w:rPr>
      <w:sz w:val="20"/>
      <w:szCs w:val="20"/>
    </w:rPr>
  </w:style>
  <w:style w:type="character" w:customStyle="1" w:styleId="PlainTextChar">
    <w:name w:val="Plain Text Char"/>
    <w:uiPriority w:val="99"/>
    <w:rPr>
      <w:rFonts w:ascii="Courier New" w:cs="Courier New" w:hAnsi="Courier New"/>
      <w:sz w:val="21"/>
      <w:szCs w:val="21"/>
    </w:rPr>
  </w:style>
  <w:style w:type="character" w:customStyle="1" w:styleId="HeaderChar">
    <w:name w:val="Header Char"/>
    <w:uiPriority w:val="99"/>
  </w:style>
  <w:style w:type="character" w:customStyle="1" w:styleId="FooterChar">
    <w:name w:val="Footer Char"/>
    <w:uiPriority w:val="99"/>
  </w:style>
  <w:style w:type="paragraph" w:default="1" w:styleId="Normal">
    <w:name w:val="Normal"/>
    <w:uiPriority w:val="99"/>
    <w:qFormat w:val="on"/>
  </w:style>
  <w:style w:type="paragraph" w:styleId="Heading1">
    <w:name w:val="Heading 1"/>
    <w:basedOn w:val="Normal"/>
    <w:next w:val="Normal"/>
    <w:link w:val="Başlık1Char1"/>
    <w:uiPriority w:val="9"/>
    <w:qFormat w:val="on"/>
    <w:pPr>
      <w:keepNext w:val="on"/>
      <w:keepLines w:val="on"/>
      <w:spacing w:before="480" w:beforeAutospacing="0" w:after="0" w:afterAutospacing="0"/>
    </w:pPr>
    <w:rPr>
      <w:rFonts w:asciiTheme="majorHAnsi" w:cstheme="majorBidi" w:eastAsiaTheme="majorEastAsia" w:hAnsiTheme="majorHAnsi"/>
      <w:b/>
      <w:bCs/>
      <w:color w:val="2f539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Başlık2Char"/>
    <w:uiPriority w:val="9"/>
    <w:semiHidden w:val="on"/>
    <w:unhideWhenUsed w:val="on"/>
    <w:qFormat w:val="on"/>
    <w:pPr>
      <w:keepNext w:val="on"/>
      <w:keepLines w:val="on"/>
      <w:spacing w:before="200" w:beforeAutospacing="0" w:after="0" w:afterAutospacing="0"/>
    </w:pPr>
    <w:rPr>
      <w:rFonts w:asciiTheme="majorHAnsi" w:cstheme="majorBidi" w:eastAsiaTheme="majorEastAsia" w:hAnsiTheme="majorHAns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Başlık3Char"/>
    <w:uiPriority w:val="9"/>
    <w:semiHidden w:val="on"/>
    <w:unhideWhenUsed w:val="on"/>
    <w:qFormat w:val="on"/>
    <w:pPr>
      <w:keepNext w:val="on"/>
      <w:keepLines w:val="on"/>
      <w:spacing w:before="200" w:beforeAutospacing="0" w:after="0" w:afterAutospacing="0"/>
    </w:pPr>
    <w:rPr>
      <w:rFonts w:asciiTheme="majorHAnsi" w:cstheme="majorBidi" w:eastAsiaTheme="majorEastAsia" w:hAnsiTheme="majorHAnsi"/>
      <w:b/>
      <w:bCs/>
      <w:color w:val="4472c4" w:themeColor="accent1"/>
    </w:rPr>
  </w:style>
  <w:style w:type="paragraph" w:styleId="Heading4">
    <w:name w:val="Heading 4"/>
    <w:basedOn w:val="Normal"/>
    <w:next w:val="Normal"/>
    <w:link w:val="Başlık4Char"/>
    <w:uiPriority w:val="9"/>
    <w:semiHidden w:val="on"/>
    <w:unhideWhenUsed w:val="on"/>
    <w:qFormat w:val="on"/>
    <w:pPr>
      <w:keepNext w:val="on"/>
      <w:keepLines w:val="on"/>
      <w:spacing w:before="200" w:beforeAutospacing="0" w:after="0" w:afterAutospacing="0"/>
    </w:pPr>
    <w:rPr>
      <w:rFonts w:asciiTheme="majorHAnsi" w:cstheme="majorBidi" w:eastAsiaTheme="majorEastAsia" w:hAnsiTheme="majorHAnsi"/>
      <w:b/>
      <w:bCs/>
      <w:i/>
      <w:iCs/>
      <w:color w:val="4472c4" w:themeColor="accent1"/>
    </w:rPr>
  </w:style>
  <w:style w:type="paragraph" w:styleId="Heading5">
    <w:name w:val="Heading 5"/>
    <w:basedOn w:val="Normal"/>
    <w:next w:val="Normal"/>
    <w:link w:val="Başlık5Char"/>
    <w:uiPriority w:val="9"/>
    <w:semiHidden w:val="on"/>
    <w:unhideWhenUsed w:val="on"/>
    <w:qFormat w:val="on"/>
    <w:pPr>
      <w:keepNext w:val="on"/>
      <w:keepLines w:val="on"/>
      <w:spacing w:before="200" w:beforeAutospacing="0" w:after="0" w:afterAutospacing="0"/>
    </w:pPr>
    <w:rPr>
      <w:rFonts w:asciiTheme="majorHAnsi" w:cstheme="majorBidi" w:eastAsiaTheme="majorEastAsia" w:hAnsiTheme="majorHAnsi"/>
      <w:color w:val="1f3763" w:themeColor="accent1" w:themeShade="7f"/>
    </w:rPr>
  </w:style>
  <w:style w:type="paragraph" w:styleId="Heading6">
    <w:name w:val="Heading 6"/>
    <w:basedOn w:val="Normal"/>
    <w:next w:val="Normal"/>
    <w:link w:val="Başlık6Char"/>
    <w:uiPriority w:val="9"/>
    <w:semiHidden w:val="on"/>
    <w:unhideWhenUsed w:val="on"/>
    <w:qFormat w:val="on"/>
    <w:pPr>
      <w:keepNext w:val="on"/>
      <w:keepLines w:val="on"/>
      <w:spacing w:before="200" w:beforeAutospacing="0" w:after="0" w:afterAutospacing="0"/>
    </w:pPr>
    <w:rPr>
      <w:rFonts w:asciiTheme="majorHAnsi" w:cstheme="majorBidi" w:eastAsiaTheme="majorEastAsia" w:hAnsiTheme="majorHAnsi"/>
      <w:i/>
      <w:iCs/>
      <w:color w:val="1f3763" w:themeColor="accent1" w:themeShade="7f"/>
    </w:rPr>
  </w:style>
  <w:style w:type="paragraph" w:styleId="Heading7">
    <w:name w:val="Heading 7"/>
    <w:basedOn w:val="Normal"/>
    <w:next w:val="Normal"/>
    <w:link w:val="Başlık7Char"/>
    <w:uiPriority w:val="9"/>
    <w:semiHidden w:val="on"/>
    <w:unhideWhenUsed w:val="on"/>
    <w:qFormat w:val="on"/>
    <w:pPr>
      <w:keepNext w:val="on"/>
      <w:keepLines w:val="on"/>
      <w:spacing w:before="200" w:beforeAutospacing="0" w:after="0" w:afterAutospacing="0"/>
    </w:pPr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Başlık8Char"/>
    <w:uiPriority w:val="9"/>
    <w:semiHidden w:val="on"/>
    <w:unhideWhenUsed w:val="on"/>
    <w:qFormat w:val="on"/>
    <w:pPr>
      <w:keepNext w:val="on"/>
      <w:keepLines w:val="on"/>
      <w:spacing w:before="200" w:beforeAutospacing="0" w:after="0" w:afterAutospacing="0"/>
    </w:pPr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Başlık9Char"/>
    <w:uiPriority w:val="9"/>
    <w:semiHidden w:val="on"/>
    <w:unhideWhenUsed w:val="on"/>
    <w:qFormat w:val="on"/>
    <w:pPr>
      <w:keepNext w:val="on"/>
      <w:keepLines w:val="on"/>
      <w:spacing w:before="200" w:beforeAutospacing="0" w:after="0" w:afterAutospacing="0"/>
    </w:pPr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 w:val="on"/>
    <w:unhideWhenUsed w:val="on"/>
  </w:style>
  <w:style w:type="table" w:default="1" w:styleId="NormalTable">
    <w:name w:val="Normal Table"/>
    <w:uiPriority w:val="99"/>
    <w:semiHidden w:val="on"/>
    <w:unhideWhenUsed w:val="on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 w:val="on"/>
    <w:unhideWhenUsed w:val="on"/>
  </w:style>
  <w:style w:type="paragraph" w:styleId="NoSpacing">
    <w:name w:val="No Spacing"/>
    <w:uiPriority w:val="1"/>
    <w:qFormat w:val="on"/>
    <w:pPr>
      <w:spacing w:beforeAutospacing="0" w:after="0" w:afterAutospacing="0" w:line="240" w:lineRule="auto"/>
    </w:pPr>
  </w:style>
  <w:style w:type="character" w:customStyle="1" w:styleId="Başlık1Char1">
    <w:name w:val="Başlık 1 Char1"/>
    <w:basedOn w:val="DefaultParagraphFont"/>
    <w:link w:val="Heading1"/>
    <w:uiPriority w:val="9"/>
    <w:rPr>
      <w:rFonts w:asciiTheme="majorHAnsi" w:cstheme="majorBidi" w:eastAsiaTheme="majorEastAsia" w:hAnsiTheme="majorHAnsi"/>
      <w:b/>
      <w:bCs/>
      <w:color w:val="2f5395" w:themeColor="accent1" w:themeShade="bf"/>
      <w:sz w:val="28"/>
      <w:szCs w:val="28"/>
    </w:rPr>
  </w:style>
  <w:style w:type="character" w:customStyle="1" w:styleId="Başlık2Char">
    <w:name w:val="Başlık 2 Char"/>
    <w:basedOn w:val="DefaultParagraphFont"/>
    <w:link w:val="Heading2"/>
    <w:uiPriority w:val="9"/>
    <w:rPr>
      <w:rFonts w:asciiTheme="majorHAnsi" w:cstheme="majorBidi" w:eastAsiaTheme="majorEastAsia" w:hAnsiTheme="majorHAnsi"/>
      <w:b/>
      <w:bCs/>
      <w:color w:val="4472c4" w:themeColor="accent1"/>
      <w:sz w:val="26"/>
      <w:szCs w:val="26"/>
    </w:rPr>
  </w:style>
  <w:style w:type="character" w:customStyle="1" w:styleId="Başlık3Char">
    <w:name w:val="Başlık 3 Char"/>
    <w:basedOn w:val="DefaultParagraphFont"/>
    <w:link w:val="Heading3"/>
    <w:uiPriority w:val="9"/>
    <w:rPr>
      <w:rFonts w:asciiTheme="majorHAnsi" w:cstheme="majorBidi" w:eastAsiaTheme="majorEastAsia" w:hAnsiTheme="majorHAnsi"/>
      <w:b/>
      <w:bCs/>
      <w:color w:val="4472c4" w:themeColor="accent1"/>
    </w:rPr>
  </w:style>
  <w:style w:type="character" w:customStyle="1" w:styleId="Başlık4Char">
    <w:name w:val="Başlık 4 Char"/>
    <w:basedOn w:val="DefaultParagraphFont"/>
    <w:link w:val="Heading4"/>
    <w:uiPriority w:val="9"/>
    <w:rPr>
      <w:rFonts w:asciiTheme="majorHAnsi" w:cstheme="majorBidi" w:eastAsiaTheme="majorEastAsia" w:hAnsiTheme="majorHAnsi"/>
      <w:b/>
      <w:bCs/>
      <w:i/>
      <w:iCs/>
      <w:color w:val="4472c4" w:themeColor="accent1"/>
    </w:rPr>
  </w:style>
  <w:style w:type="character" w:customStyle="1" w:styleId="Başlık5Char">
    <w:name w:val="Başlık 5 Char"/>
    <w:basedOn w:val="DefaultParagraphFont"/>
    <w:link w:val="Heading5"/>
    <w:uiPriority w:val="9"/>
    <w:rPr>
      <w:rFonts w:asciiTheme="majorHAnsi" w:cstheme="majorBidi" w:eastAsiaTheme="majorEastAsia" w:hAnsiTheme="majorHAnsi"/>
      <w:color w:val="1f3763" w:themeColor="accent1" w:themeShade="7f"/>
    </w:rPr>
  </w:style>
  <w:style w:type="character" w:customStyle="1" w:styleId="Başlık6Char">
    <w:name w:val="Başlık 6 Char"/>
    <w:basedOn w:val="DefaultParagraphFont"/>
    <w:link w:val="Heading6"/>
    <w:uiPriority w:val="9"/>
    <w:rPr>
      <w:rFonts w:asciiTheme="majorHAnsi" w:cstheme="majorBidi" w:eastAsiaTheme="majorEastAsia" w:hAnsiTheme="majorHAnsi"/>
      <w:i/>
      <w:iCs/>
      <w:color w:val="1f3763" w:themeColor="accent1" w:themeShade="7f"/>
    </w:rPr>
  </w:style>
  <w:style w:type="character" w:customStyle="1" w:styleId="Başlık7Char">
    <w:name w:val="Başlık 7 Char"/>
    <w:basedOn w:val="DefaultParagraphFont"/>
    <w:link w:val="Heading7"/>
    <w:uiPriority w:val="9"/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character" w:customStyle="1" w:styleId="Başlık8Char">
    <w:name w:val="Başlık 8 Char"/>
    <w:basedOn w:val="DefaultParagraphFont"/>
    <w:link w:val="Heading8"/>
    <w:uiPriority w:val="9"/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customStyle="1" w:styleId="Başlık9Char">
    <w:name w:val="Başlık 9 Char"/>
    <w:basedOn w:val="DefaultParagraphFont"/>
    <w:link w:val="Heading9"/>
    <w:uiPriority w:val="9"/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KonuBaşlığıChar"/>
    <w:uiPriority w:val="10"/>
    <w:qFormat w:val="on"/>
    <w:pPr>
      <w:pBdr>
        <w:bottom w:val="single" w:color="4472c4" w:themeColor="accent1" w:sz="8" w:space="4"/>
      </w:pBdr>
      <w:spacing w:beforeAutospacing="0" w:after="300" w:afterAutospacing="0" w:line="240" w:lineRule="auto"/>
      <w:contextualSpacing w:val="on"/>
    </w:pPr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character" w:customStyle="1" w:styleId="KonuBaşlığıChar">
    <w:name w:val="Konu Başlığı Char"/>
    <w:basedOn w:val="DefaultParagraphFont"/>
    <w:link w:val="Title"/>
    <w:uiPriority w:val="10"/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paragraph" w:styleId="Subtitle">
    <w:name w:val="Subtitle"/>
    <w:basedOn w:val="Normal"/>
    <w:next w:val="Normal"/>
    <w:link w:val="AltyazıChar"/>
    <w:uiPriority w:val="11"/>
    <w:qFormat w:val="on"/>
    <w:rPr>
      <w:rFonts w:asciiTheme="majorHAnsi" w:cstheme="majorBidi" w:eastAsiaTheme="majorEastAsia" w:hAnsiTheme="majorHAnsi"/>
      <w:i/>
      <w:iCs/>
      <w:color w:val="4472c4" w:themeColor="accent1"/>
      <w:spacing w:val="15"/>
      <w:sz w:val="24"/>
      <w:szCs w:val="24"/>
    </w:rPr>
  </w:style>
  <w:style w:type="character" w:customStyle="1" w:styleId="AltyazıChar">
    <w:name w:val="Altyazı Char"/>
    <w:basedOn w:val="DefaultParagraphFont"/>
    <w:link w:val="Subtitle"/>
    <w:uiPriority w:val="11"/>
    <w:rPr>
      <w:rFonts w:asciiTheme="majorHAnsi" w:cstheme="majorBidi" w:eastAsiaTheme="majorEastAsia" w:hAnsiTheme="majorHAnsi"/>
      <w:i/>
      <w:iCs/>
      <w:color w:val="4472c4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 w:val="on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 w:val="on"/>
    <w:rPr>
      <w:i/>
      <w:iCs/>
    </w:rPr>
  </w:style>
  <w:style w:type="character" w:styleId="IntenseEmphasis">
    <w:name w:val="Intense Emphasis"/>
    <w:basedOn w:val="DefaultParagraphFont"/>
    <w:uiPriority w:val="21"/>
    <w:qFormat w:val="on"/>
    <w:rPr>
      <w:b/>
      <w:bCs/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 w:val="on"/>
    <w:rPr>
      <w:b/>
      <w:bCs/>
    </w:rPr>
  </w:style>
  <w:style w:type="paragraph" w:styleId="Quote">
    <w:name w:val="Quote"/>
    <w:basedOn w:val="Normal"/>
    <w:next w:val="Normal"/>
    <w:link w:val="AlıntıChar"/>
    <w:uiPriority w:val="29"/>
    <w:qFormat w:val="on"/>
    <w:rPr>
      <w:i/>
      <w:iCs/>
      <w:color w:val="000000" w:themeColor="text1"/>
    </w:rPr>
  </w:style>
  <w:style w:type="character" w:customStyle="1" w:styleId="AlıntıChar">
    <w:name w:val="Alıntı Char"/>
    <w:basedOn w:val="DefaultParagraphFont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GüçlüAlıntıChar"/>
    <w:uiPriority w:val="30"/>
    <w:qFormat w:val="on"/>
    <w:pPr>
      <w:pBdr>
        <w:bottom w:val="single" w:color="4472c4" w:themeColor="accent1" w:sz="4" w:space="4"/>
      </w:pBdr>
      <w:spacing w:before="200" w:beforeAutospacing="0" w:after="280" w:afterAutospacing="0"/>
      <w:ind w:left="936" w:right="936"/>
    </w:pPr>
    <w:rPr>
      <w:b/>
      <w:bCs/>
      <w:i/>
      <w:iCs/>
      <w:color w:val="4472c4" w:themeColor="accent1"/>
    </w:rPr>
  </w:style>
  <w:style w:type="character" w:customStyle="1" w:styleId="GüçlüAlıntıChar">
    <w:name w:val="Güçlü Alıntı Char"/>
    <w:basedOn w:val="DefaultParagraphFont"/>
    <w:link w:val="IntenseQuote"/>
    <w:uiPriority w:val="30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 w:val="on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on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on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 w:val="on"/>
    <w:pPr>
      <w:ind w:left="720"/>
      <w:contextualSpacing w:val="on"/>
    </w:pPr>
  </w:style>
  <w:style w:type="paragraph" w:styleId="Footnotetext">
    <w:name w:val="Footnote text"/>
    <w:basedOn w:val="Normal"/>
    <w:link w:val="DipnotMetniChar"/>
    <w:uiPriority w:val="99"/>
    <w:semiHidden w:val="on"/>
    <w:unhideWhenUsed w:val="on"/>
    <w:pPr>
      <w:spacing w:beforeAutospacing="0" w:after="0" w:afterAutospacing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DefaultParagraphFont"/>
    <w:link w:val="Footnotetext"/>
    <w:uiPriority w:val="99"/>
    <w:semiHidden w:val="on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on"/>
    <w:unhideWhenUsed w:val="on"/>
    <w:rPr>
      <w:vertAlign w:val="superscript"/>
    </w:rPr>
  </w:style>
  <w:style w:type="paragraph" w:styleId="Endnotetext">
    <w:name w:val="Endnote text"/>
    <w:basedOn w:val="Normal"/>
    <w:link w:val="SonnotMetniChar"/>
    <w:uiPriority w:val="99"/>
    <w:semiHidden w:val="on"/>
    <w:unhideWhenUsed w:val="on"/>
    <w:pPr>
      <w:spacing w:beforeAutospacing="0" w:after="0" w:afterAutospacing="0" w:line="240" w:lineRule="auto"/>
    </w:pPr>
    <w:rPr>
      <w:sz w:val="20"/>
      <w:szCs w:val="20"/>
    </w:rPr>
  </w:style>
  <w:style w:type="character" w:customStyle="1" w:styleId="SonnotMetniChar">
    <w:name w:val="Sonnot Metni Char"/>
    <w:basedOn w:val="DefaultParagraphFont"/>
    <w:link w:val="Endnotetext"/>
    <w:uiPriority w:val="99"/>
    <w:semiHidden w:val="on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 w:val="on"/>
    <w:unhideWhenUsed w:val="on"/>
    <w:rPr>
      <w:vertAlign w:val="superscript"/>
    </w:rPr>
  </w:style>
  <w:style w:type="character" w:styleId="Hyperlink">
    <w:name w:val="Hyperlink"/>
    <w:basedOn w:val="DefaultParagraphFont"/>
    <w:uiPriority w:val="99"/>
    <w:unhideWhenUsed w:val="on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 w:val="on"/>
    <w:unhideWhenUsed w:val="on"/>
    <w:rPr>
      <w:color w:val="954f72" w:themeColor="followedHyperlink"/>
      <w:u w:val="single"/>
    </w:rPr>
  </w:style>
  <w:style w:type="paragraph" w:styleId="PlainText">
    <w:name w:val="Plain Text"/>
    <w:basedOn w:val="Normal"/>
    <w:link w:val="DüzMetinChar"/>
    <w:uiPriority w:val="99"/>
    <w:semiHidden w:val="on"/>
    <w:unhideWhenUsed w:val="on"/>
    <w:pPr>
      <w:spacing w:beforeAutospacing="0" w:after="0" w:afterAutospacing="0" w:line="240" w:lineRule="auto"/>
    </w:pPr>
    <w:rPr>
      <w:rFonts w:ascii="Courier New" w:cs="Courier New" w:hAnsi="Courier New"/>
      <w:sz w:val="21"/>
      <w:szCs w:val="21"/>
    </w:rPr>
  </w:style>
  <w:style w:type="character" w:customStyle="1" w:styleId="DüzMetinChar">
    <w:name w:val="Düz Metin Char"/>
    <w:basedOn w:val="DefaultParagraphFont"/>
    <w:link w:val="PlainText"/>
    <w:uiPriority w:val="99"/>
    <w:rPr>
      <w:rFonts w:ascii="Courier New" w:cs="Courier New" w:hAnsi="Courier New"/>
      <w:sz w:val="21"/>
      <w:szCs w:val="21"/>
    </w:rPr>
  </w:style>
  <w:style w:type="paragraph" w:styleId="Header">
    <w:name w:val="Header"/>
    <w:basedOn w:val="Normal"/>
    <w:link w:val="ÜstBilgiChar"/>
    <w:uiPriority w:val="99"/>
    <w:unhideWhenUsed w:val="on"/>
    <w:pPr>
      <w:spacing w:beforeAutospacing="0" w:after="0" w:afterAutospacing="0" w:line="240" w:lineRule="auto"/>
    </w:pPr>
  </w:style>
  <w:style w:type="character" w:customStyle="1" w:styleId="ÜstBilgiChar">
    <w:name w:val="Üst Bilgi Char"/>
    <w:basedOn w:val="DefaultParagraphFont"/>
    <w:link w:val="Header"/>
    <w:uiPriority w:val="99"/>
  </w:style>
  <w:style w:type="paragraph" w:styleId="Footer">
    <w:name w:val="Footer"/>
    <w:basedOn w:val="Normal"/>
    <w:link w:val="AltBilgiChar"/>
    <w:uiPriority w:val="99"/>
    <w:unhideWhenUsed w:val="on"/>
    <w:pPr>
      <w:spacing w:beforeAutospacing="0" w:after="0" w:afterAutospacing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</w:style>
  <w:style w:type="paragraph" w:styleId="Caption">
    <w:name w:val="Caption"/>
    <w:basedOn w:val="Normal"/>
    <w:next w:val="Normal"/>
    <w:uiPriority w:val="35"/>
    <w:unhideWhenUsed w:val="on"/>
    <w:qFormat w:val="on"/>
    <w:pPr>
      <w:spacing w:beforeAutospacing="0" w:afterAutospacing="0" w:line="240" w:lineRule="auto"/>
    </w:pPr>
    <w:rPr>
      <w:i/>
      <w:iCs/>
      <w:color w:val="44546a" w:themeColor="text2"/>
      <w:sz w:val="18"/>
      <w:szCs w:val="18"/>
    </w:rPr>
  </w:style>
  <w:style w:type="character" w:customStyle="1" w:styleId="Başlık1Char">
    <w:name w:val="Başlık 1 Char"/>
    <w:basedOn w:val="DefaultParagraphFont"/>
    <w:uiPriority w:val="9"/>
    <w:rPr>
      <w:rFonts w:ascii="Times New Roman" w:cstheme="majorBidi" w:eastAsiaTheme="majorEastAsia" w:hAnsi="Times New Roman"/>
      <w:b/>
      <w:bCs/>
      <w:sz w:val="24"/>
      <w:szCs w:val="28"/>
      <w:lang w:val="en-US" w:bidi="en-US"/>
    </w:rPr>
  </w:style>
  <w:style w:type="character" w:styleId="Annotationreference">
    <w:name w:val="Annotation reference"/>
    <w:basedOn w:val="DefaultParagraphFont"/>
    <w:uiPriority w:val="99"/>
    <w:semiHidden w:val="on"/>
    <w:unhideWhenUsed w:val="on"/>
    <w:rPr>
      <w:sz w:val="16"/>
      <w:szCs w:val="16"/>
    </w:rPr>
  </w:style>
  <w:style w:type="paragraph" w:styleId="Annotationtext">
    <w:name w:val="Annotation text"/>
    <w:basedOn w:val="Normal"/>
    <w:link w:val="AçıklamaMetniChar"/>
    <w:uiPriority w:val="99"/>
    <w:semiHidden w:val="on"/>
    <w:unhideWhenUsed w:val="on"/>
    <w:pPr>
      <w:spacing w:beforeAutospacing="0" w:afterAutospacing="0" w:line="240" w:lineRule="auto"/>
    </w:pPr>
    <w:rPr>
      <w:sz w:val="20"/>
      <w:szCs w:val="20"/>
    </w:rPr>
  </w:style>
  <w:style w:type="character" w:customStyle="1" w:styleId="AçıklamaMetniChar">
    <w:name w:val="Açıklama Metni Char"/>
    <w:basedOn w:val="DefaultParagraphFont"/>
    <w:link w:val="Annotationtext"/>
    <w:uiPriority w:val="99"/>
    <w:semiHidden w:val="on"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çıklamaKonusuChar"/>
    <w:uiPriority w:val="99"/>
    <w:semiHidden w:val="on"/>
    <w:unhideWhenUsed w:val="on"/>
    <w:rPr>
      <w:b/>
      <w:bCs/>
    </w:rPr>
  </w:style>
  <w:style w:type="character" w:customStyle="1" w:styleId="AçıklamaKonusuChar">
    <w:name w:val="Açıklama Konusu Char"/>
    <w:basedOn w:val="AçıklamaMetniChar"/>
    <w:link w:val="Annotationsubject"/>
    <w:uiPriority w:val="99"/>
    <w:semiHidden w:val="on"/>
    <w:rPr>
      <w:b/>
      <w:bCs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 w:val="on"/>
    <w:unhideWhenUsed w:val="on"/>
    <w:pPr>
      <w:spacing w:beforeAutospacing="0" w:after="0" w:afterAutospacing="0" w:line="240" w:lineRule="auto"/>
    </w:pPr>
    <w:rPr>
      <w:rFonts w:ascii="Segoe UI" w:cs="Segoe UI" w:hAnsi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 w:val="on"/>
    <w:rPr>
      <w:rFonts w:ascii="Segoe UI" w:cs="Segoe UI" w:hAnsi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omments.xml.rels><?xml version="1.0" encoding="UTF-8" standalone="yes"?>
<Relationships xmlns="http://schemas.openxmlformats.org/package/2006/relationships"></Relationship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9" Type="http://schemas.openxmlformats.org/officeDocument/2006/relationships/theme" Target="theme/theme1.xml"/><Relationship Id="rId4" Type="http://schemas.openxmlformats.org/officeDocument/2006/relationships/webSettings" Target="webSettings.xml"/><Relationship Id="rId6" Type="http://schemas.microsoft.com/office/2011/relationships/commentsExtended" Target="commentsExtended.xml"/><Relationship Id="rId8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/Relationships>
</file>

<file path=word/theme/theme1.xml><?xml version="1.0" encoding="utf-8"?>
<a:theme xmlns:a="http://schemas.openxmlformats.org/drawingml/2006/main" name="Varsayıla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Mucella Saler</dc:creator>
  <cp:lastModifiedBy>Mucella Saler</cp:lastModifiedBy>
</cp:coreProperties>
</file>